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39F92" w14:textId="60695C94" w:rsidR="00DD56A3" w:rsidRDefault="00CA024B" w:rsidP="00DD56A3">
      <w:pPr>
        <w:jc w:val="both"/>
        <w:rPr>
          <w:rFonts w:ascii="Times New Roman" w:hAnsi="Times New Roman" w:cs="Times New Roman"/>
          <w:b/>
          <w:bCs/>
        </w:rPr>
      </w:pPr>
      <w:r w:rsidRPr="00DD56A3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</w:t>
      </w:r>
      <w:r w:rsidRPr="00DD56A3">
        <w:rPr>
          <w:rFonts w:ascii="Times New Roman" w:hAnsi="Times New Roman" w:cs="Times New Roman"/>
          <w:b/>
          <w:bCs/>
        </w:rPr>
        <w:t>igure 1.</w:t>
      </w:r>
    </w:p>
    <w:p w14:paraId="4511922D" w14:textId="77777777" w:rsidR="00CA024B" w:rsidRDefault="00CA024B" w:rsidP="00DD56A3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26FD6CB9" w14:textId="77777777" w:rsidR="00DD56A3" w:rsidRDefault="00DD56A3" w:rsidP="00DD56A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AEEE0E2" wp14:editId="0935FF98">
            <wp:extent cx="5316220" cy="318833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220" cy="3188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40B006" w14:textId="77777777" w:rsidR="00DD56A3" w:rsidRDefault="00DD56A3" w:rsidP="00DD56A3">
      <w:pPr>
        <w:jc w:val="both"/>
        <w:rPr>
          <w:rFonts w:ascii="Times New Roman" w:hAnsi="Times New Roman" w:cs="Times New Roman"/>
        </w:rPr>
      </w:pPr>
    </w:p>
    <w:p w14:paraId="43ADC692" w14:textId="527AB06F" w:rsidR="00BF3AFA" w:rsidRPr="00DD56A3" w:rsidRDefault="00DD56A3" w:rsidP="00DD56A3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D56A3">
        <w:rPr>
          <w:rFonts w:ascii="Times New Roman" w:hAnsi="Times New Roman" w:cs="Times New Roman"/>
          <w:b/>
          <w:bCs/>
        </w:rPr>
        <w:t xml:space="preserve">Supplementary </w:t>
      </w:r>
      <w:r w:rsidR="00CA024B">
        <w:rPr>
          <w:rFonts w:ascii="Times New Roman" w:hAnsi="Times New Roman" w:cs="Times New Roman"/>
          <w:b/>
          <w:bCs/>
        </w:rPr>
        <w:t>F</w:t>
      </w:r>
      <w:r w:rsidRPr="00DD56A3">
        <w:rPr>
          <w:rFonts w:ascii="Times New Roman" w:hAnsi="Times New Roman" w:cs="Times New Roman"/>
          <w:b/>
          <w:bCs/>
        </w:rPr>
        <w:t>igure 1. Map showing the distance between the top/ bottom 5 countries from which Dengue was imported and Kaohsiung city between 2013 and 2018.</w:t>
      </w:r>
    </w:p>
    <w:p w14:paraId="7CA7BA8F" w14:textId="77777777" w:rsidR="00DD56A3" w:rsidRDefault="00DD56A3" w:rsidP="00DD56A3">
      <w:pPr>
        <w:jc w:val="both"/>
        <w:rPr>
          <w:rFonts w:ascii="Times New Roman" w:hAnsi="Times New Roman" w:cs="Times New Roman"/>
        </w:rPr>
      </w:pPr>
    </w:p>
    <w:p w14:paraId="49ACF2E4" w14:textId="77777777" w:rsidR="00DD56A3" w:rsidRPr="00DD56A3" w:rsidRDefault="00DD56A3" w:rsidP="00DD56A3">
      <w:pPr>
        <w:jc w:val="both"/>
        <w:rPr>
          <w:rFonts w:ascii="Times New Roman" w:hAnsi="Times New Roman" w:cs="Times New Roman"/>
        </w:rPr>
      </w:pPr>
    </w:p>
    <w:sectPr w:rsidR="00DD56A3" w:rsidRPr="00DD56A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E1CA91" w14:textId="77777777" w:rsidR="00BD550D" w:rsidRDefault="00BD550D" w:rsidP="00CA024B">
      <w:r>
        <w:separator/>
      </w:r>
    </w:p>
  </w:endnote>
  <w:endnote w:type="continuationSeparator" w:id="0">
    <w:p w14:paraId="5DB2C4DF" w14:textId="77777777" w:rsidR="00BD550D" w:rsidRDefault="00BD550D" w:rsidP="00CA0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8716D3" w14:textId="77777777" w:rsidR="00BD550D" w:rsidRDefault="00BD550D" w:rsidP="00CA024B">
      <w:r>
        <w:separator/>
      </w:r>
    </w:p>
  </w:footnote>
  <w:footnote w:type="continuationSeparator" w:id="0">
    <w:p w14:paraId="07C51B39" w14:textId="77777777" w:rsidR="00BD550D" w:rsidRDefault="00BD550D" w:rsidP="00CA02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6A3"/>
    <w:rsid w:val="003579AA"/>
    <w:rsid w:val="00BD550D"/>
    <w:rsid w:val="00BF3AFA"/>
    <w:rsid w:val="00CA024B"/>
    <w:rsid w:val="00DD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F8004"/>
  <w15:chartTrackingRefBased/>
  <w15:docId w15:val="{122B6517-7215-4AB5-8174-2E1F9067A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2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A024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A02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A024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2019-11-16T04:18:00Z</dcterms:created>
  <dcterms:modified xsi:type="dcterms:W3CDTF">2019-11-16T06:17:00Z</dcterms:modified>
</cp:coreProperties>
</file>